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E97" w:rsidRPr="002B3E97" w:rsidRDefault="002B3E97" w:rsidP="002B3E97"/>
    <w:p w:rsidR="0065165B" w:rsidRDefault="00A402B3" w:rsidP="00001A52">
      <w:pPr>
        <w:pStyle w:val="berschrift1"/>
        <w:shd w:val="clear" w:color="auto" w:fill="BFBFBF" w:themeFill="background1" w:themeFillShade="BF"/>
        <w:tabs>
          <w:tab w:val="left" w:pos="426"/>
        </w:tabs>
        <w:jc w:val="left"/>
      </w:pPr>
      <w:r>
        <w:t>1</w:t>
      </w:r>
      <w:r w:rsidR="0065165B">
        <w:t>.</w:t>
      </w:r>
      <w:r w:rsidR="0065165B">
        <w:tab/>
      </w:r>
      <w:r w:rsidR="008F502E">
        <w:t>Einheitliche Notengebung</w:t>
      </w:r>
    </w:p>
    <w:p w:rsidR="0032651E" w:rsidRDefault="006C56CD" w:rsidP="008F502E">
      <w:pPr>
        <w:tabs>
          <w:tab w:val="left" w:pos="0"/>
        </w:tabs>
        <w:spacing w:after="120"/>
        <w:rPr>
          <w:sz w:val="20"/>
          <w:szCs w:val="20"/>
        </w:rPr>
      </w:pPr>
      <w:r>
        <w:rPr>
          <w:sz w:val="20"/>
          <w:szCs w:val="20"/>
        </w:rPr>
        <w:t xml:space="preserve">Grundsätzlich teilt sich Notengebung in eine </w:t>
      </w:r>
      <w:r w:rsidR="008F502E">
        <w:rPr>
          <w:sz w:val="20"/>
          <w:szCs w:val="20"/>
        </w:rPr>
        <w:t>messbare</w:t>
      </w:r>
      <w:r w:rsidR="0032651E">
        <w:rPr>
          <w:sz w:val="20"/>
          <w:szCs w:val="20"/>
        </w:rPr>
        <w:t xml:space="preserve"> </w:t>
      </w:r>
      <w:r>
        <w:rPr>
          <w:sz w:val="20"/>
          <w:szCs w:val="20"/>
        </w:rPr>
        <w:t>Leistungsfest</w:t>
      </w:r>
      <w:r w:rsidR="0032651E">
        <w:rPr>
          <w:sz w:val="20"/>
          <w:szCs w:val="20"/>
        </w:rPr>
        <w:t>stellung (Lernzielkontrollen</w:t>
      </w:r>
      <w:r w:rsidR="008F502E">
        <w:rPr>
          <w:sz w:val="20"/>
          <w:szCs w:val="20"/>
        </w:rPr>
        <w:t>,</w:t>
      </w:r>
      <w:r w:rsidR="0032651E">
        <w:rPr>
          <w:sz w:val="20"/>
          <w:szCs w:val="20"/>
        </w:rPr>
        <w:t xml:space="preserve"> Schularbeiten) und eine kompetenzorientierte Mitarbeitsnote</w:t>
      </w:r>
      <w:r w:rsidR="008F502E">
        <w:rPr>
          <w:sz w:val="20"/>
          <w:szCs w:val="20"/>
        </w:rPr>
        <w:t xml:space="preserve"> (Erbringung von Hausaufgaben, </w:t>
      </w:r>
      <w:r w:rsidR="00487DCB">
        <w:rPr>
          <w:sz w:val="20"/>
          <w:szCs w:val="20"/>
        </w:rPr>
        <w:t>Positiver</w:t>
      </w:r>
      <w:r w:rsidR="008F502E">
        <w:rPr>
          <w:sz w:val="20"/>
          <w:szCs w:val="20"/>
        </w:rPr>
        <w:t xml:space="preserve"> bzw. negativer Beitrag zum Unterricht)</w:t>
      </w:r>
      <w:r w:rsidR="0032651E">
        <w:rPr>
          <w:sz w:val="20"/>
          <w:szCs w:val="20"/>
        </w:rPr>
        <w:t xml:space="preserve">. </w:t>
      </w:r>
      <w:r w:rsidR="008F502E">
        <w:rPr>
          <w:sz w:val="20"/>
          <w:szCs w:val="20"/>
        </w:rPr>
        <w:t xml:space="preserve">Die </w:t>
      </w:r>
      <w:r w:rsidR="0032651E">
        <w:rPr>
          <w:sz w:val="20"/>
          <w:szCs w:val="20"/>
        </w:rPr>
        <w:t>Hausaufgaben</w:t>
      </w:r>
      <w:r w:rsidR="008F502E">
        <w:rPr>
          <w:sz w:val="20"/>
          <w:szCs w:val="20"/>
        </w:rPr>
        <w:t xml:space="preserve"> sind</w:t>
      </w:r>
      <w:r w:rsidR="0032651E">
        <w:rPr>
          <w:sz w:val="20"/>
          <w:szCs w:val="20"/>
        </w:rPr>
        <w:t xml:space="preserve"> in einer ans</w:t>
      </w:r>
      <w:r w:rsidR="008F502E">
        <w:rPr>
          <w:sz w:val="20"/>
          <w:szCs w:val="20"/>
        </w:rPr>
        <w:t>prechenden Form zu erbringen</w:t>
      </w:r>
      <w:r w:rsidR="0032651E">
        <w:rPr>
          <w:sz w:val="20"/>
          <w:szCs w:val="20"/>
        </w:rPr>
        <w:t>! Die Korrektheit der gestellten Aufgaben bleibt unberücksichtigt. Die Hausübung soll Fehler aufdecken und ohne Leistungsdruck erfolgen!</w:t>
      </w:r>
      <w:r w:rsidR="008F502E">
        <w:rPr>
          <w:sz w:val="20"/>
          <w:szCs w:val="20"/>
        </w:rPr>
        <w:br/>
      </w:r>
      <w:r w:rsidR="0032651E">
        <w:rPr>
          <w:sz w:val="20"/>
          <w:szCs w:val="20"/>
        </w:rPr>
        <w:t xml:space="preserve">Die kompetenzorientierte Mitarbeitsnote </w:t>
      </w:r>
      <w:r w:rsidR="008F502E">
        <w:rPr>
          <w:sz w:val="20"/>
          <w:szCs w:val="20"/>
        </w:rPr>
        <w:t xml:space="preserve">und die </w:t>
      </w:r>
      <w:r w:rsidR="00125C63">
        <w:rPr>
          <w:sz w:val="20"/>
          <w:szCs w:val="20"/>
        </w:rPr>
        <w:t xml:space="preserve">Leistungsfeststellung </w:t>
      </w:r>
      <w:r w:rsidR="0032651E">
        <w:rPr>
          <w:sz w:val="20"/>
          <w:szCs w:val="20"/>
        </w:rPr>
        <w:t xml:space="preserve">beeinflusst die </w:t>
      </w:r>
      <w:r w:rsidR="008F502E">
        <w:rPr>
          <w:sz w:val="20"/>
          <w:szCs w:val="20"/>
        </w:rPr>
        <w:t>Gesamtnote im folgenden Ausmaß:</w:t>
      </w:r>
    </w:p>
    <w:p w:rsidR="008F502E" w:rsidRPr="00125C63" w:rsidRDefault="008F502E" w:rsidP="008F502E">
      <w:pPr>
        <w:tabs>
          <w:tab w:val="left" w:pos="0"/>
          <w:tab w:val="left" w:pos="3402"/>
        </w:tabs>
        <w:spacing w:after="0"/>
        <w:rPr>
          <w:b/>
          <w:sz w:val="20"/>
          <w:szCs w:val="20"/>
        </w:rPr>
      </w:pPr>
      <w:r>
        <w:rPr>
          <w:sz w:val="20"/>
          <w:szCs w:val="20"/>
        </w:rPr>
        <w:t>Kompentenzorientierte Mitarbeitsnote</w:t>
      </w:r>
      <w:r w:rsidRPr="00125C63">
        <w:rPr>
          <w:sz w:val="20"/>
          <w:szCs w:val="20"/>
        </w:rPr>
        <w:t>:</w:t>
      </w:r>
      <w:r w:rsidRPr="008F502E">
        <w:rPr>
          <w:b/>
        </w:rPr>
        <w:t xml:space="preserve"> </w:t>
      </w:r>
      <w:r>
        <w:rPr>
          <w:b/>
        </w:rPr>
        <w:tab/>
      </w:r>
      <w:r w:rsidRPr="00125C63">
        <w:rPr>
          <w:b/>
          <w:sz w:val="20"/>
          <w:szCs w:val="20"/>
        </w:rPr>
        <w:t>50 %</w:t>
      </w:r>
    </w:p>
    <w:p w:rsidR="0032651E" w:rsidRPr="00125C63" w:rsidRDefault="008F502E" w:rsidP="008F502E">
      <w:pPr>
        <w:tabs>
          <w:tab w:val="left" w:pos="0"/>
          <w:tab w:val="left" w:pos="3402"/>
        </w:tabs>
        <w:spacing w:after="0"/>
        <w:rPr>
          <w:b/>
          <w:sz w:val="20"/>
          <w:szCs w:val="20"/>
        </w:rPr>
      </w:pPr>
      <w:r>
        <w:rPr>
          <w:sz w:val="20"/>
          <w:szCs w:val="20"/>
        </w:rPr>
        <w:t xml:space="preserve">messbare </w:t>
      </w:r>
      <w:r w:rsidR="0032651E">
        <w:rPr>
          <w:sz w:val="20"/>
          <w:szCs w:val="20"/>
        </w:rPr>
        <w:t>Leistungs</w:t>
      </w:r>
      <w:r>
        <w:rPr>
          <w:sz w:val="20"/>
          <w:szCs w:val="20"/>
        </w:rPr>
        <w:t>feststellung:</w:t>
      </w:r>
      <w:r>
        <w:rPr>
          <w:sz w:val="20"/>
          <w:szCs w:val="20"/>
        </w:rPr>
        <w:tab/>
      </w:r>
      <w:r w:rsidRPr="00125C63">
        <w:rPr>
          <w:b/>
          <w:sz w:val="20"/>
          <w:szCs w:val="20"/>
        </w:rPr>
        <w:t>50 %</w:t>
      </w:r>
    </w:p>
    <w:p w:rsidR="008F502E" w:rsidRDefault="008F502E" w:rsidP="008F502E">
      <w:pPr>
        <w:tabs>
          <w:tab w:val="left" w:pos="0"/>
          <w:tab w:val="left" w:pos="3402"/>
        </w:tabs>
        <w:spacing w:after="0"/>
        <w:rPr>
          <w:b/>
        </w:rPr>
      </w:pPr>
    </w:p>
    <w:p w:rsidR="00125C63" w:rsidRDefault="005E6C0F" w:rsidP="009F64CA">
      <w:pPr>
        <w:tabs>
          <w:tab w:val="left" w:pos="0"/>
        </w:tabs>
        <w:spacing w:before="120"/>
        <w:jc w:val="both"/>
        <w:rPr>
          <w:sz w:val="20"/>
          <w:szCs w:val="20"/>
        </w:rPr>
      </w:pPr>
      <w:r>
        <w:rPr>
          <w:sz w:val="20"/>
          <w:szCs w:val="20"/>
        </w:rPr>
        <w:t xml:space="preserve">Die Gewichtung der Noten für die Lernzielkontrollen und Schularbeiten </w:t>
      </w:r>
      <w:r w:rsidR="00125C63">
        <w:rPr>
          <w:sz w:val="20"/>
          <w:szCs w:val="20"/>
        </w:rPr>
        <w:t xml:space="preserve">für die Leistungsfeststellung </w:t>
      </w:r>
      <w:r w:rsidR="008F502E">
        <w:rPr>
          <w:sz w:val="20"/>
          <w:szCs w:val="20"/>
        </w:rPr>
        <w:t>wurde wie folgt festgelegt:</w:t>
      </w:r>
    </w:p>
    <w:p w:rsidR="00125C63" w:rsidRPr="00125C63" w:rsidRDefault="00125C63" w:rsidP="00125C63">
      <w:pPr>
        <w:tabs>
          <w:tab w:val="left" w:pos="0"/>
          <w:tab w:val="left" w:pos="1701"/>
        </w:tabs>
        <w:spacing w:after="0"/>
        <w:rPr>
          <w:b/>
          <w:sz w:val="20"/>
          <w:szCs w:val="20"/>
        </w:rPr>
      </w:pPr>
      <w:r>
        <w:rPr>
          <w:sz w:val="20"/>
          <w:szCs w:val="20"/>
        </w:rPr>
        <w:t>Lernzielkontrolle</w:t>
      </w:r>
      <w:r w:rsidRPr="00125C63">
        <w:rPr>
          <w:sz w:val="20"/>
          <w:szCs w:val="20"/>
        </w:rPr>
        <w:t xml:space="preserve">: </w:t>
      </w:r>
      <w:r>
        <w:rPr>
          <w:b/>
        </w:rPr>
        <w:tab/>
      </w:r>
      <w:r w:rsidRPr="00125C63">
        <w:rPr>
          <w:b/>
          <w:sz w:val="20"/>
          <w:szCs w:val="20"/>
        </w:rPr>
        <w:t>30 %</w:t>
      </w:r>
    </w:p>
    <w:p w:rsidR="00125C63" w:rsidRDefault="00125C63" w:rsidP="00125C63">
      <w:pPr>
        <w:tabs>
          <w:tab w:val="left" w:pos="0"/>
          <w:tab w:val="left" w:pos="1701"/>
        </w:tabs>
        <w:spacing w:after="0"/>
        <w:rPr>
          <w:b/>
          <w:sz w:val="20"/>
          <w:szCs w:val="20"/>
        </w:rPr>
      </w:pPr>
      <w:r>
        <w:rPr>
          <w:sz w:val="20"/>
          <w:szCs w:val="20"/>
        </w:rPr>
        <w:t>Schularbeiten:</w:t>
      </w:r>
      <w:r>
        <w:rPr>
          <w:sz w:val="20"/>
          <w:szCs w:val="20"/>
        </w:rPr>
        <w:tab/>
      </w:r>
      <w:r w:rsidRPr="00125C63">
        <w:rPr>
          <w:b/>
          <w:sz w:val="20"/>
          <w:szCs w:val="20"/>
        </w:rPr>
        <w:t>70 %</w:t>
      </w:r>
    </w:p>
    <w:p w:rsidR="00B922AC" w:rsidRDefault="00B922AC" w:rsidP="00125C63">
      <w:pPr>
        <w:tabs>
          <w:tab w:val="left" w:pos="0"/>
          <w:tab w:val="left" w:pos="1701"/>
        </w:tabs>
        <w:spacing w:after="0"/>
        <w:rPr>
          <w:b/>
          <w:sz w:val="20"/>
          <w:szCs w:val="20"/>
        </w:rPr>
      </w:pPr>
    </w:p>
    <w:p w:rsidR="00B922AC" w:rsidRDefault="00B922AC" w:rsidP="00125C63">
      <w:pPr>
        <w:tabs>
          <w:tab w:val="left" w:pos="0"/>
          <w:tab w:val="left" w:pos="1701"/>
        </w:tabs>
        <w:spacing w:after="0"/>
        <w:rPr>
          <w:sz w:val="20"/>
          <w:szCs w:val="20"/>
        </w:rPr>
      </w:pPr>
      <w:r>
        <w:rPr>
          <w:sz w:val="20"/>
          <w:szCs w:val="20"/>
        </w:rPr>
        <w:t>Gewichtung der „Schulquartale“:</w:t>
      </w:r>
      <w:r>
        <w:rPr>
          <w:sz w:val="20"/>
          <w:szCs w:val="20"/>
        </w:rPr>
        <w:br/>
        <w:t>- 1. und 2.Quartal sind gleichwertig zu gewichten</w:t>
      </w:r>
      <w:r>
        <w:rPr>
          <w:sz w:val="20"/>
          <w:szCs w:val="20"/>
        </w:rPr>
        <w:br/>
        <w:t>- 3. und 4.Quartal sind gleichwertig zu gewichten</w:t>
      </w:r>
    </w:p>
    <w:p w:rsidR="00B922AC" w:rsidRDefault="00B922AC" w:rsidP="00B922AC">
      <w:pPr>
        <w:tabs>
          <w:tab w:val="left" w:pos="0"/>
          <w:tab w:val="left" w:pos="1701"/>
        </w:tabs>
        <w:spacing w:after="0"/>
        <w:rPr>
          <w:sz w:val="20"/>
          <w:szCs w:val="20"/>
        </w:rPr>
      </w:pPr>
      <w:r w:rsidRPr="00B922AC">
        <w:rPr>
          <w:sz w:val="20"/>
          <w:szCs w:val="20"/>
        </w:rPr>
        <w:t>-</w:t>
      </w:r>
      <w:r>
        <w:rPr>
          <w:sz w:val="20"/>
          <w:szCs w:val="20"/>
        </w:rPr>
        <w:t xml:space="preserve"> Das 3 Quartal ist </w:t>
      </w:r>
      <w:r w:rsidR="006B4B8C">
        <w:rPr>
          <w:sz w:val="20"/>
          <w:szCs w:val="20"/>
        </w:rPr>
        <w:t>gleichwertig</w:t>
      </w:r>
      <w:r>
        <w:rPr>
          <w:sz w:val="20"/>
          <w:szCs w:val="20"/>
        </w:rPr>
        <w:t xml:space="preserve"> gegenüber </w:t>
      </w:r>
      <w:r w:rsidR="006B4B8C">
        <w:rPr>
          <w:sz w:val="20"/>
          <w:szCs w:val="20"/>
        </w:rPr>
        <w:t>dem 1. Semester (</w:t>
      </w:r>
      <w:r>
        <w:rPr>
          <w:sz w:val="20"/>
          <w:szCs w:val="20"/>
        </w:rPr>
        <w:t>1.und 2.Quartal</w:t>
      </w:r>
      <w:r w:rsidR="006B4B8C">
        <w:rPr>
          <w:sz w:val="20"/>
          <w:szCs w:val="20"/>
        </w:rPr>
        <w:t>)</w:t>
      </w:r>
      <w:r>
        <w:rPr>
          <w:sz w:val="20"/>
          <w:szCs w:val="20"/>
        </w:rPr>
        <w:t xml:space="preserve"> zu gewichten</w:t>
      </w:r>
    </w:p>
    <w:p w:rsidR="00B922AC" w:rsidRPr="00B922AC" w:rsidRDefault="00B922AC" w:rsidP="00B922AC">
      <w:pPr>
        <w:tabs>
          <w:tab w:val="left" w:pos="0"/>
          <w:tab w:val="left" w:pos="1701"/>
        </w:tabs>
        <w:spacing w:after="0"/>
        <w:rPr>
          <w:sz w:val="20"/>
          <w:szCs w:val="20"/>
        </w:rPr>
      </w:pPr>
      <w:r>
        <w:rPr>
          <w:sz w:val="20"/>
          <w:szCs w:val="20"/>
        </w:rPr>
        <w:t>- Das 2. Semester ist doppelt dem 1. Semester zu gewichten</w:t>
      </w:r>
    </w:p>
    <w:p w:rsidR="005E6C0F" w:rsidRDefault="005E6C0F" w:rsidP="009F64CA">
      <w:pPr>
        <w:tabs>
          <w:tab w:val="left" w:pos="0"/>
        </w:tabs>
        <w:spacing w:before="120"/>
        <w:jc w:val="both"/>
        <w:rPr>
          <w:sz w:val="20"/>
          <w:szCs w:val="20"/>
        </w:rPr>
      </w:pPr>
    </w:p>
    <w:p w:rsidR="005E6C0F" w:rsidRDefault="005E6C0F" w:rsidP="00001A52">
      <w:pPr>
        <w:pStyle w:val="berschrift1"/>
        <w:shd w:val="clear" w:color="auto" w:fill="BFBFBF" w:themeFill="background1" w:themeFillShade="BF"/>
        <w:tabs>
          <w:tab w:val="left" w:pos="426"/>
        </w:tabs>
        <w:jc w:val="left"/>
      </w:pPr>
      <w:r>
        <w:t>2.</w:t>
      </w:r>
      <w:r>
        <w:tab/>
        <w:t>Note</w:t>
      </w:r>
      <w:r w:rsidR="00125C63">
        <w:t>ngebung unter Berücksichtigung von zwei Niveaus</w:t>
      </w:r>
    </w:p>
    <w:p w:rsidR="00125C63" w:rsidRDefault="00125C63" w:rsidP="00125C63">
      <w:pPr>
        <w:tabs>
          <w:tab w:val="left" w:pos="0"/>
        </w:tabs>
        <w:rPr>
          <w:sz w:val="20"/>
          <w:szCs w:val="20"/>
        </w:rPr>
      </w:pPr>
      <w:r>
        <w:rPr>
          <w:sz w:val="20"/>
          <w:szCs w:val="20"/>
        </w:rPr>
        <w:t>Die Aufgaben in Schularbeiten und Lernzielkontrollen werden für beide Niveaus gleich gestellt. Die Notengebung (prozentuelle Verteilung) wird folgendermaßen vorgenommen:</w:t>
      </w:r>
    </w:p>
    <w:p w:rsidR="00125C63" w:rsidRDefault="003E2F86" w:rsidP="005E6C0F">
      <w:pPr>
        <w:tabs>
          <w:tab w:val="left" w:pos="0"/>
        </w:tabs>
        <w:jc w:val="both"/>
        <w:rPr>
          <w:sz w:val="20"/>
          <w:szCs w:val="20"/>
        </w:rPr>
      </w:pPr>
      <w:r>
        <w:rPr>
          <w:noProof/>
          <w:sz w:val="20"/>
          <w:szCs w:val="20"/>
          <w:lang w:val="de-AT" w:eastAsia="de-AT"/>
        </w:rPr>
        <w:drawing>
          <wp:anchor distT="0" distB="0" distL="114300" distR="114300" simplePos="0" relativeHeight="251658240" behindDoc="1" locked="0" layoutInCell="1" allowOverlap="1">
            <wp:simplePos x="0" y="0"/>
            <wp:positionH relativeFrom="column">
              <wp:posOffset>29845</wp:posOffset>
            </wp:positionH>
            <wp:positionV relativeFrom="paragraph">
              <wp:posOffset>31750</wp:posOffset>
            </wp:positionV>
            <wp:extent cx="2492375" cy="2786380"/>
            <wp:effectExtent l="19050" t="0" r="3175"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t="1227"/>
                    <a:stretch>
                      <a:fillRect/>
                    </a:stretch>
                  </pic:blipFill>
                  <pic:spPr bwMode="auto">
                    <a:xfrm>
                      <a:off x="0" y="0"/>
                      <a:ext cx="2492375" cy="2786380"/>
                    </a:xfrm>
                    <a:prstGeom prst="rect">
                      <a:avLst/>
                    </a:prstGeom>
                    <a:noFill/>
                    <a:ln w="9525">
                      <a:noFill/>
                      <a:miter lim="800000"/>
                      <a:headEnd/>
                      <a:tailEnd/>
                    </a:ln>
                  </pic:spPr>
                </pic:pic>
              </a:graphicData>
            </a:graphic>
          </wp:anchor>
        </w:drawing>
      </w:r>
    </w:p>
    <w:p w:rsidR="002B3E97" w:rsidRPr="00125C63" w:rsidRDefault="002B3E97" w:rsidP="00001A52">
      <w:pPr>
        <w:tabs>
          <w:tab w:val="left" w:pos="0"/>
          <w:tab w:val="left" w:pos="1560"/>
          <w:tab w:val="left" w:pos="2977"/>
        </w:tabs>
        <w:rPr>
          <w:rFonts w:asciiTheme="minorHAnsi" w:hAnsiTheme="minorHAnsi" w:cstheme="minorHAnsi"/>
          <w:sz w:val="20"/>
          <w:szCs w:val="20"/>
        </w:rPr>
      </w:pPr>
      <w:r w:rsidRPr="00125C63">
        <w:rPr>
          <w:rFonts w:asciiTheme="minorHAnsi" w:hAnsiTheme="minorHAnsi" w:cstheme="minorHAnsi"/>
          <w:sz w:val="20"/>
          <w:szCs w:val="20"/>
          <w:u w:val="single"/>
        </w:rPr>
        <w:t>Erklärung:</w:t>
      </w:r>
      <w:r w:rsidRPr="00125C63">
        <w:rPr>
          <w:rFonts w:asciiTheme="minorHAnsi" w:hAnsiTheme="minorHAnsi" w:cstheme="minorHAnsi"/>
          <w:sz w:val="20"/>
          <w:szCs w:val="20"/>
        </w:rPr>
        <w:br/>
        <w:t>70 bis 60% gelöster Aufgaben bedeutet</w:t>
      </w:r>
      <w:r w:rsidR="00125C63" w:rsidRPr="00125C63">
        <w:rPr>
          <w:rFonts w:asciiTheme="minorHAnsi" w:hAnsiTheme="minorHAnsi" w:cstheme="minorHAnsi"/>
          <w:sz w:val="20"/>
          <w:szCs w:val="20"/>
        </w:rPr>
        <w:t>:</w:t>
      </w:r>
      <w:r w:rsidR="00125C63" w:rsidRPr="00125C63">
        <w:rPr>
          <w:rFonts w:asciiTheme="minorHAnsi" w:hAnsiTheme="minorHAnsi" w:cstheme="minorHAnsi"/>
          <w:sz w:val="20"/>
          <w:szCs w:val="20"/>
        </w:rPr>
        <w:br/>
        <w:t xml:space="preserve">- </w:t>
      </w:r>
      <w:r w:rsidRPr="00125C63">
        <w:rPr>
          <w:rFonts w:asciiTheme="minorHAnsi" w:hAnsiTheme="minorHAnsi" w:cstheme="minorHAnsi"/>
          <w:b/>
          <w:color w:val="FF0000"/>
          <w:sz w:val="20"/>
          <w:szCs w:val="20"/>
        </w:rPr>
        <w:t>Genügend</w:t>
      </w:r>
      <w:r w:rsidRPr="00125C63">
        <w:rPr>
          <w:rFonts w:asciiTheme="minorHAnsi" w:hAnsiTheme="minorHAnsi" w:cstheme="minorHAnsi"/>
          <w:color w:val="FF0000"/>
          <w:sz w:val="20"/>
          <w:szCs w:val="20"/>
        </w:rPr>
        <w:t xml:space="preserve"> </w:t>
      </w:r>
      <w:r w:rsidRPr="00125C63">
        <w:rPr>
          <w:rFonts w:asciiTheme="minorHAnsi" w:hAnsiTheme="minorHAnsi" w:cstheme="minorHAnsi"/>
          <w:sz w:val="20"/>
          <w:szCs w:val="20"/>
        </w:rPr>
        <w:t xml:space="preserve">für </w:t>
      </w:r>
      <w:r w:rsidR="00125C63" w:rsidRPr="00125C63">
        <w:rPr>
          <w:rFonts w:asciiTheme="minorHAnsi" w:hAnsiTheme="minorHAnsi" w:cstheme="minorHAnsi"/>
          <w:b/>
          <w:color w:val="FF0000"/>
          <w:sz w:val="20"/>
          <w:szCs w:val="20"/>
        </w:rPr>
        <w:t>V-Niveau</w:t>
      </w:r>
      <w:r w:rsidR="00125C63" w:rsidRPr="00125C63">
        <w:rPr>
          <w:rFonts w:asciiTheme="minorHAnsi" w:hAnsiTheme="minorHAnsi" w:cstheme="minorHAnsi"/>
          <w:b/>
          <w:sz w:val="20"/>
          <w:szCs w:val="20"/>
        </w:rPr>
        <w:br/>
        <w:t xml:space="preserve">- </w:t>
      </w:r>
      <w:r w:rsidRPr="00125C63">
        <w:rPr>
          <w:rFonts w:asciiTheme="minorHAnsi" w:hAnsiTheme="minorHAnsi" w:cstheme="minorHAnsi"/>
          <w:b/>
          <w:color w:val="0070C0"/>
          <w:sz w:val="20"/>
          <w:szCs w:val="20"/>
        </w:rPr>
        <w:t>Gut</w:t>
      </w:r>
      <w:r w:rsidRPr="00125C63">
        <w:rPr>
          <w:rFonts w:asciiTheme="minorHAnsi" w:hAnsiTheme="minorHAnsi" w:cstheme="minorHAnsi"/>
          <w:sz w:val="20"/>
          <w:szCs w:val="20"/>
        </w:rPr>
        <w:t xml:space="preserve"> für </w:t>
      </w:r>
      <w:r w:rsidR="00125C63" w:rsidRPr="00125C63">
        <w:rPr>
          <w:rFonts w:asciiTheme="minorHAnsi" w:hAnsiTheme="minorHAnsi" w:cstheme="minorHAnsi"/>
          <w:b/>
          <w:color w:val="0070C0"/>
          <w:sz w:val="20"/>
          <w:szCs w:val="20"/>
        </w:rPr>
        <w:t>G-Niveau</w:t>
      </w:r>
    </w:p>
    <w:p w:rsidR="00125C63" w:rsidRPr="00125C63" w:rsidRDefault="00125C63" w:rsidP="00001A52">
      <w:pPr>
        <w:tabs>
          <w:tab w:val="left" w:pos="0"/>
          <w:tab w:val="left" w:pos="1560"/>
          <w:tab w:val="left" w:pos="2977"/>
        </w:tabs>
        <w:rPr>
          <w:rFonts w:asciiTheme="minorHAnsi" w:hAnsiTheme="minorHAnsi" w:cstheme="minorHAnsi"/>
          <w:sz w:val="20"/>
          <w:szCs w:val="20"/>
        </w:rPr>
      </w:pPr>
    </w:p>
    <w:p w:rsidR="00125C63" w:rsidRPr="00125C63" w:rsidRDefault="00125C63" w:rsidP="00001A52">
      <w:pPr>
        <w:tabs>
          <w:tab w:val="left" w:pos="0"/>
          <w:tab w:val="left" w:pos="1560"/>
          <w:tab w:val="left" w:pos="2977"/>
        </w:tabs>
        <w:rPr>
          <w:rFonts w:asciiTheme="minorHAnsi" w:hAnsiTheme="minorHAnsi" w:cstheme="minorHAnsi"/>
          <w:sz w:val="20"/>
          <w:szCs w:val="20"/>
        </w:rPr>
      </w:pPr>
    </w:p>
    <w:p w:rsidR="00125C63" w:rsidRPr="00125C63" w:rsidRDefault="00125C63" w:rsidP="00001A52">
      <w:pPr>
        <w:tabs>
          <w:tab w:val="left" w:pos="0"/>
          <w:tab w:val="left" w:pos="1560"/>
          <w:tab w:val="left" w:pos="2977"/>
        </w:tabs>
        <w:rPr>
          <w:rFonts w:asciiTheme="minorHAnsi" w:hAnsiTheme="minorHAnsi" w:cstheme="minorHAnsi"/>
          <w:sz w:val="20"/>
          <w:szCs w:val="20"/>
        </w:rPr>
      </w:pPr>
    </w:p>
    <w:p w:rsidR="00125C63" w:rsidRPr="00125C63" w:rsidRDefault="00125C63" w:rsidP="00001A52">
      <w:pPr>
        <w:tabs>
          <w:tab w:val="left" w:pos="0"/>
          <w:tab w:val="left" w:pos="1560"/>
          <w:tab w:val="left" w:pos="2977"/>
        </w:tabs>
        <w:rPr>
          <w:rFonts w:asciiTheme="minorHAnsi" w:hAnsiTheme="minorHAnsi" w:cstheme="minorHAnsi"/>
          <w:sz w:val="20"/>
          <w:szCs w:val="20"/>
        </w:rPr>
      </w:pPr>
    </w:p>
    <w:p w:rsidR="00125C63" w:rsidRPr="00125C63" w:rsidRDefault="00125C63" w:rsidP="00001A52">
      <w:pPr>
        <w:tabs>
          <w:tab w:val="left" w:pos="0"/>
          <w:tab w:val="left" w:pos="1560"/>
          <w:tab w:val="left" w:pos="2977"/>
        </w:tabs>
        <w:rPr>
          <w:rFonts w:asciiTheme="minorHAnsi" w:hAnsiTheme="minorHAnsi" w:cstheme="minorHAnsi"/>
          <w:sz w:val="20"/>
          <w:szCs w:val="20"/>
        </w:rPr>
      </w:pPr>
    </w:p>
    <w:p w:rsidR="00125C63" w:rsidRPr="00125C63" w:rsidRDefault="00125C63" w:rsidP="00001A52">
      <w:pPr>
        <w:tabs>
          <w:tab w:val="left" w:pos="0"/>
          <w:tab w:val="left" w:pos="1560"/>
          <w:tab w:val="left" w:pos="2977"/>
        </w:tabs>
        <w:rPr>
          <w:rFonts w:asciiTheme="minorHAnsi" w:hAnsiTheme="minorHAnsi" w:cstheme="minorHAnsi"/>
          <w:sz w:val="20"/>
          <w:szCs w:val="20"/>
        </w:rPr>
      </w:pPr>
    </w:p>
    <w:p w:rsidR="00125C63" w:rsidRDefault="00125C63" w:rsidP="00125C63">
      <w:pPr>
        <w:pStyle w:val="Listenabsatz"/>
        <w:numPr>
          <w:ilvl w:val="0"/>
          <w:numId w:val="2"/>
        </w:numPr>
        <w:tabs>
          <w:tab w:val="left" w:pos="0"/>
          <w:tab w:val="left" w:pos="284"/>
        </w:tabs>
        <w:spacing w:after="120"/>
        <w:ind w:left="0" w:hanging="284"/>
        <w:rPr>
          <w:sz w:val="20"/>
          <w:szCs w:val="20"/>
        </w:rPr>
      </w:pPr>
      <w:r w:rsidRPr="00125C63">
        <w:rPr>
          <w:sz w:val="20"/>
          <w:szCs w:val="20"/>
        </w:rPr>
        <w:t>E</w:t>
      </w:r>
      <w:r w:rsidR="002B3E97" w:rsidRPr="00125C63">
        <w:rPr>
          <w:sz w:val="20"/>
          <w:szCs w:val="20"/>
        </w:rPr>
        <w:t xml:space="preserve">ine Abweichung der prozentuellen Verteilung auf Grund der Punkteverteilung </w:t>
      </w:r>
      <w:r w:rsidR="00FE3A1A" w:rsidRPr="00125C63">
        <w:rPr>
          <w:sz w:val="20"/>
          <w:szCs w:val="20"/>
        </w:rPr>
        <w:t xml:space="preserve">ist </w:t>
      </w:r>
      <w:r w:rsidRPr="00125C63">
        <w:rPr>
          <w:sz w:val="20"/>
          <w:szCs w:val="20"/>
        </w:rPr>
        <w:t>zulässig</w:t>
      </w:r>
    </w:p>
    <w:p w:rsidR="002B3E97" w:rsidRDefault="00125C63" w:rsidP="00125C63">
      <w:pPr>
        <w:pStyle w:val="Listenabsatz"/>
        <w:numPr>
          <w:ilvl w:val="0"/>
          <w:numId w:val="2"/>
        </w:numPr>
        <w:tabs>
          <w:tab w:val="left" w:pos="0"/>
          <w:tab w:val="left" w:pos="284"/>
        </w:tabs>
        <w:spacing w:after="120"/>
        <w:ind w:left="0" w:hanging="284"/>
        <w:rPr>
          <w:sz w:val="20"/>
          <w:szCs w:val="20"/>
        </w:rPr>
      </w:pPr>
      <w:r w:rsidRPr="00125C63">
        <w:rPr>
          <w:sz w:val="20"/>
          <w:szCs w:val="20"/>
        </w:rPr>
        <w:t>D</w:t>
      </w:r>
      <w:r w:rsidR="002B3E97" w:rsidRPr="00125C63">
        <w:rPr>
          <w:sz w:val="20"/>
          <w:szCs w:val="20"/>
        </w:rPr>
        <w:t>ie Aufgabenstellung ist der entscheidende Faktor und Bedarf einer sorgfältigen Überlegung</w:t>
      </w:r>
      <w:r>
        <w:rPr>
          <w:sz w:val="20"/>
          <w:szCs w:val="20"/>
        </w:rPr>
        <w:br/>
        <w:t xml:space="preserve"> -</w:t>
      </w:r>
      <w:r w:rsidR="00FE3A1A" w:rsidRPr="00125C63">
        <w:rPr>
          <w:sz w:val="20"/>
          <w:szCs w:val="20"/>
        </w:rPr>
        <w:tab/>
      </w:r>
      <w:r w:rsidR="003E2F86">
        <w:rPr>
          <w:sz w:val="20"/>
          <w:szCs w:val="20"/>
        </w:rPr>
        <w:t>Berücksichtigung der Streuung der zu überprüfenden Lernziele</w:t>
      </w:r>
      <w:r w:rsidR="00FE3A1A" w:rsidRPr="00125C63">
        <w:rPr>
          <w:sz w:val="20"/>
          <w:szCs w:val="20"/>
        </w:rPr>
        <w:t xml:space="preserve"> </w:t>
      </w:r>
      <w:r>
        <w:rPr>
          <w:sz w:val="20"/>
          <w:szCs w:val="20"/>
        </w:rPr>
        <w:br/>
        <w:t xml:space="preserve"> -</w:t>
      </w:r>
      <w:r>
        <w:rPr>
          <w:sz w:val="20"/>
          <w:szCs w:val="20"/>
        </w:rPr>
        <w:tab/>
      </w:r>
      <w:r w:rsidR="003E2F86">
        <w:rPr>
          <w:sz w:val="20"/>
          <w:szCs w:val="20"/>
        </w:rPr>
        <w:t>Berücksichtigung des Schwierigkeitsgrades für beide Niveaus unter Berücksichtigung der</w:t>
      </w:r>
      <w:r w:rsidR="003E2F86">
        <w:rPr>
          <w:sz w:val="20"/>
          <w:szCs w:val="20"/>
        </w:rPr>
        <w:br/>
        <w:t xml:space="preserve"> </w:t>
      </w:r>
      <w:r w:rsidR="003E2F86">
        <w:rPr>
          <w:sz w:val="20"/>
          <w:szCs w:val="20"/>
        </w:rPr>
        <w:tab/>
        <w:t>Bildungsstandards (</w:t>
      </w:r>
      <w:hyperlink r:id="rId9" w:history="1">
        <w:r w:rsidR="003E2F86" w:rsidRPr="009037DA">
          <w:rPr>
            <w:rStyle w:val="Hyperlink"/>
            <w:sz w:val="20"/>
            <w:szCs w:val="20"/>
          </w:rPr>
          <w:t>https://www.bifie.at/bildungsstandards</w:t>
        </w:r>
      </w:hyperlink>
      <w:r w:rsidR="003E2F86">
        <w:rPr>
          <w:sz w:val="20"/>
          <w:szCs w:val="20"/>
        </w:rPr>
        <w:t>) der zu überprüfenden Lernziele.</w:t>
      </w:r>
    </w:p>
    <w:p w:rsidR="0007252E" w:rsidRDefault="0007252E" w:rsidP="0007252E">
      <w:pPr>
        <w:pStyle w:val="Listenabsatz"/>
        <w:tabs>
          <w:tab w:val="left" w:pos="0"/>
          <w:tab w:val="left" w:pos="284"/>
        </w:tabs>
        <w:spacing w:after="120"/>
        <w:ind w:left="0"/>
        <w:rPr>
          <w:sz w:val="20"/>
          <w:szCs w:val="20"/>
        </w:rPr>
      </w:pPr>
    </w:p>
    <w:p w:rsidR="00487DCB" w:rsidRDefault="00487DCB" w:rsidP="00487DCB">
      <w:pPr>
        <w:pStyle w:val="Listenabsatz"/>
        <w:tabs>
          <w:tab w:val="left" w:pos="0"/>
          <w:tab w:val="left" w:pos="284"/>
        </w:tabs>
        <w:spacing w:after="120"/>
        <w:ind w:left="0"/>
        <w:rPr>
          <w:sz w:val="20"/>
          <w:szCs w:val="20"/>
        </w:rPr>
      </w:pPr>
    </w:p>
    <w:p w:rsidR="00FE3A1A" w:rsidRDefault="00FE3A1A" w:rsidP="00FE3A1A">
      <w:pPr>
        <w:pStyle w:val="berschrift1"/>
        <w:shd w:val="clear" w:color="auto" w:fill="BFBFBF" w:themeFill="background1" w:themeFillShade="BF"/>
        <w:tabs>
          <w:tab w:val="left" w:pos="426"/>
        </w:tabs>
        <w:jc w:val="left"/>
      </w:pPr>
      <w:r>
        <w:lastRenderedPageBreak/>
        <w:t>3.</w:t>
      </w:r>
      <w:r>
        <w:tab/>
        <w:t>Datenbank Mathematik (</w:t>
      </w:r>
      <w:r w:rsidRPr="00FE3A1A">
        <w:rPr>
          <w:sz w:val="16"/>
          <w:szCs w:val="16"/>
        </w:rPr>
        <w:t>Stoffsammlung digital</w:t>
      </w:r>
      <w:r>
        <w:t>)</w:t>
      </w:r>
    </w:p>
    <w:p w:rsidR="00FE3A1A" w:rsidRDefault="00FE3A1A" w:rsidP="00FE3A1A">
      <w:pPr>
        <w:tabs>
          <w:tab w:val="left" w:pos="0"/>
        </w:tabs>
        <w:jc w:val="both"/>
        <w:rPr>
          <w:sz w:val="20"/>
          <w:szCs w:val="20"/>
        </w:rPr>
      </w:pPr>
      <w:r>
        <w:rPr>
          <w:sz w:val="20"/>
          <w:szCs w:val="20"/>
        </w:rPr>
        <w:t>Auf dem Netzwerk wird ein Ordner für die Schaffung einer Mathematik</w:t>
      </w:r>
      <w:r w:rsidR="00580DF7">
        <w:rPr>
          <w:sz w:val="20"/>
          <w:szCs w:val="20"/>
        </w:rPr>
        <w:t xml:space="preserve"> </w:t>
      </w:r>
      <w:r>
        <w:rPr>
          <w:sz w:val="20"/>
          <w:szCs w:val="20"/>
        </w:rPr>
        <w:t>-</w:t>
      </w:r>
      <w:r w:rsidR="00580DF7">
        <w:rPr>
          <w:sz w:val="20"/>
          <w:szCs w:val="20"/>
        </w:rPr>
        <w:t xml:space="preserve"> </w:t>
      </w:r>
      <w:r>
        <w:rPr>
          <w:sz w:val="20"/>
          <w:szCs w:val="20"/>
        </w:rPr>
        <w:t xml:space="preserve">Datenbank angelegt! Grundsätzlich erfolgt die Verteilung in Kapitel! Für jedes Kapitel wir ein Ordner zu Verfügung gestellt, in dem die, in diesem Fach unterrichtenden Lehrer, ihre Unterrichtsvorbereitungen </w:t>
      </w:r>
      <w:r w:rsidR="00580DF7">
        <w:rPr>
          <w:sz w:val="20"/>
          <w:szCs w:val="20"/>
        </w:rPr>
        <w:t xml:space="preserve">zur Verwendung für andere, ablegen können! Als Basisprogramm für einzelne Kapitel wird Word verwendet, indem soweit erforderlich </w:t>
      </w:r>
      <w:r w:rsidR="000155F6">
        <w:rPr>
          <w:sz w:val="20"/>
          <w:szCs w:val="20"/>
        </w:rPr>
        <w:t>Excel und CAD</w:t>
      </w:r>
      <w:r w:rsidR="00580DF7">
        <w:rPr>
          <w:sz w:val="20"/>
          <w:szCs w:val="20"/>
        </w:rPr>
        <w:t>-Dateien eingebettet werden! Die Word-Vorlage ist so gestaltet, dass sie das „ursprüngliche Tafelbild“ ersetzt!</w:t>
      </w:r>
      <w:r w:rsidR="00987E15">
        <w:rPr>
          <w:sz w:val="20"/>
          <w:szCs w:val="20"/>
        </w:rPr>
        <w:t xml:space="preserve"> Der inhaltliche, methodische und didaktische Einsatz der einzelnen Kapitel soll </w:t>
      </w:r>
      <w:r w:rsidR="00987E15" w:rsidRPr="00987E15">
        <w:rPr>
          <w:b/>
          <w:sz w:val="20"/>
          <w:szCs w:val="20"/>
        </w:rPr>
        <w:t>zumindest</w:t>
      </w:r>
      <w:r w:rsidR="00987E15">
        <w:rPr>
          <w:sz w:val="20"/>
          <w:szCs w:val="20"/>
        </w:rPr>
        <w:t xml:space="preserve"> Quartalsweise zwischen den einzelnen Lehrpersonen abgesprochen werden.</w:t>
      </w:r>
    </w:p>
    <w:p w:rsidR="00487DCB" w:rsidRDefault="00487DCB" w:rsidP="00166AD6">
      <w:pPr>
        <w:tabs>
          <w:tab w:val="left" w:pos="0"/>
        </w:tabs>
        <w:spacing w:before="120" w:after="0"/>
        <w:jc w:val="both"/>
        <w:rPr>
          <w:sz w:val="20"/>
          <w:szCs w:val="20"/>
        </w:rPr>
      </w:pPr>
    </w:p>
    <w:p w:rsidR="00987E15" w:rsidRDefault="0007252E" w:rsidP="00987E15">
      <w:pPr>
        <w:pStyle w:val="berschrift1"/>
        <w:shd w:val="clear" w:color="auto" w:fill="BFBFBF" w:themeFill="background1" w:themeFillShade="BF"/>
        <w:tabs>
          <w:tab w:val="left" w:pos="426"/>
        </w:tabs>
        <w:jc w:val="left"/>
      </w:pPr>
      <w:r>
        <w:t>4</w:t>
      </w:r>
      <w:r w:rsidR="00987E15">
        <w:t>.</w:t>
      </w:r>
      <w:r w:rsidR="00987E15">
        <w:tab/>
        <w:t>FTP Nutzung (</w:t>
      </w:r>
      <w:r w:rsidR="00987E15">
        <w:rPr>
          <w:sz w:val="16"/>
          <w:szCs w:val="16"/>
        </w:rPr>
        <w:t>Erfahrungsbericht</w:t>
      </w:r>
      <w:r w:rsidR="00987E15">
        <w:t>)</w:t>
      </w:r>
    </w:p>
    <w:p w:rsidR="00987E15" w:rsidRDefault="00987E15" w:rsidP="00987E15">
      <w:pPr>
        <w:tabs>
          <w:tab w:val="left" w:pos="0"/>
        </w:tabs>
        <w:jc w:val="both"/>
        <w:rPr>
          <w:sz w:val="20"/>
          <w:szCs w:val="20"/>
        </w:rPr>
      </w:pPr>
      <w:r>
        <w:rPr>
          <w:sz w:val="20"/>
          <w:szCs w:val="20"/>
        </w:rPr>
        <w:t xml:space="preserve">Die Plattform „Sammelordner“ als externer Zugang für die Schüler zur „Abholung“ ihrer Hausaufgaben, Übungen, usw. hat sich in der Klasse Metall bestens bewährt. Die Möglichkeiten für den Lehrer, die Hausübung nachträglich auf dem „Sammelordner“ einzustellen </w:t>
      </w:r>
      <w:r w:rsidR="000155F6">
        <w:rPr>
          <w:sz w:val="20"/>
          <w:szCs w:val="20"/>
        </w:rPr>
        <w:t>bringen</w:t>
      </w:r>
      <w:r>
        <w:rPr>
          <w:sz w:val="20"/>
          <w:szCs w:val="20"/>
        </w:rPr>
        <w:t xml:space="preserve"> folgende Vorteile:</w:t>
      </w:r>
    </w:p>
    <w:p w:rsidR="00181AC6" w:rsidRDefault="00987E15" w:rsidP="00987E15">
      <w:pPr>
        <w:tabs>
          <w:tab w:val="left" w:pos="0"/>
        </w:tabs>
        <w:rPr>
          <w:sz w:val="20"/>
          <w:szCs w:val="20"/>
        </w:rPr>
      </w:pPr>
      <w:r w:rsidRPr="00987E15">
        <w:rPr>
          <w:sz w:val="20"/>
          <w:szCs w:val="20"/>
        </w:rPr>
        <w:sym w:font="Wingdings" w:char="F0E0"/>
      </w:r>
      <w:r w:rsidR="00181AC6">
        <w:rPr>
          <w:sz w:val="20"/>
          <w:szCs w:val="20"/>
        </w:rPr>
        <w:t xml:space="preserve"> Aufgaben müssen nicht in der Stunde (letzen Minuten) gestellt werden</w:t>
      </w:r>
      <w:r w:rsidR="00181AC6">
        <w:rPr>
          <w:sz w:val="20"/>
          <w:szCs w:val="20"/>
        </w:rPr>
        <w:br/>
      </w:r>
      <w:r w:rsidR="00181AC6" w:rsidRPr="00181AC6">
        <w:rPr>
          <w:sz w:val="20"/>
          <w:szCs w:val="20"/>
        </w:rPr>
        <w:sym w:font="Wingdings" w:char="F0E0"/>
      </w:r>
      <w:r>
        <w:rPr>
          <w:sz w:val="20"/>
          <w:szCs w:val="20"/>
        </w:rPr>
        <w:t xml:space="preserve"> Überblick über die gestellten Aufgaben</w:t>
      </w:r>
      <w:r w:rsidR="00181AC6">
        <w:rPr>
          <w:sz w:val="20"/>
          <w:szCs w:val="20"/>
        </w:rPr>
        <w:t xml:space="preserve"> / Häufigkeit</w:t>
      </w:r>
      <w:r>
        <w:rPr>
          <w:sz w:val="20"/>
          <w:szCs w:val="20"/>
        </w:rPr>
        <w:br/>
      </w:r>
      <w:r w:rsidRPr="00987E15">
        <w:rPr>
          <w:sz w:val="20"/>
          <w:szCs w:val="20"/>
        </w:rPr>
        <w:sym w:font="Wingdings" w:char="F0E0"/>
      </w:r>
      <w:r>
        <w:rPr>
          <w:sz w:val="20"/>
          <w:szCs w:val="20"/>
        </w:rPr>
        <w:t xml:space="preserve"> </w:t>
      </w:r>
      <w:r w:rsidR="00181AC6">
        <w:rPr>
          <w:sz w:val="20"/>
          <w:szCs w:val="20"/>
        </w:rPr>
        <w:t>A</w:t>
      </w:r>
      <w:r>
        <w:rPr>
          <w:sz w:val="20"/>
          <w:szCs w:val="20"/>
        </w:rPr>
        <w:t>npassen der Aufgaben an die Lernziele / Stundenverlauf</w:t>
      </w:r>
      <w:r>
        <w:rPr>
          <w:sz w:val="20"/>
          <w:szCs w:val="20"/>
        </w:rPr>
        <w:br/>
      </w:r>
      <w:r w:rsidRPr="00987E15">
        <w:rPr>
          <w:sz w:val="20"/>
          <w:szCs w:val="20"/>
        </w:rPr>
        <w:sym w:font="Wingdings" w:char="F0E0"/>
      </w:r>
      <w:r>
        <w:rPr>
          <w:sz w:val="20"/>
          <w:szCs w:val="20"/>
        </w:rPr>
        <w:t xml:space="preserve"> </w:t>
      </w:r>
      <w:r w:rsidR="00181AC6">
        <w:rPr>
          <w:sz w:val="20"/>
          <w:szCs w:val="20"/>
        </w:rPr>
        <w:t>Schüler können jederzeit auf die Aufgaben zugreifen</w:t>
      </w:r>
      <w:r w:rsidR="00181AC6">
        <w:rPr>
          <w:sz w:val="20"/>
          <w:szCs w:val="20"/>
        </w:rPr>
        <w:br/>
      </w:r>
      <w:r w:rsidR="00181AC6" w:rsidRPr="00181AC6">
        <w:rPr>
          <w:sz w:val="20"/>
          <w:szCs w:val="20"/>
        </w:rPr>
        <w:sym w:font="Wingdings" w:char="F0E0"/>
      </w:r>
      <w:r w:rsidR="00181AC6">
        <w:rPr>
          <w:sz w:val="20"/>
          <w:szCs w:val="20"/>
        </w:rPr>
        <w:t xml:space="preserve"> Nachträgliches Einstellen von Lösungen zu den gestellten Aufgaben (Selbstkontrolle)</w:t>
      </w:r>
      <w:r w:rsidR="00384667">
        <w:rPr>
          <w:sz w:val="20"/>
          <w:szCs w:val="20"/>
        </w:rPr>
        <w:br/>
      </w:r>
      <w:r w:rsidR="00384667" w:rsidRPr="00384667">
        <w:rPr>
          <w:sz w:val="20"/>
          <w:szCs w:val="20"/>
        </w:rPr>
        <w:sym w:font="Wingdings" w:char="F0E0"/>
      </w:r>
      <w:r w:rsidR="00384667">
        <w:rPr>
          <w:sz w:val="20"/>
          <w:szCs w:val="20"/>
        </w:rPr>
        <w:t xml:space="preserve"> Jeder Schüler kann die HÜ/Aufgaben machen (nicht anwesend, krank, …)</w:t>
      </w:r>
      <w:r>
        <w:rPr>
          <w:sz w:val="20"/>
          <w:szCs w:val="20"/>
        </w:rPr>
        <w:br/>
      </w:r>
      <w:r w:rsidR="0007252E">
        <w:rPr>
          <w:sz w:val="20"/>
          <w:szCs w:val="20"/>
        </w:rPr>
        <w:br/>
      </w:r>
      <w:r w:rsidR="00181AC6">
        <w:rPr>
          <w:sz w:val="20"/>
          <w:szCs w:val="20"/>
        </w:rPr>
        <w:t>Die Hausübungen / Aufgaben werden einmal in der Woche eingefordert (Vereinbarung über Wochentag, Berücksichtigung des Stundenplans der Schüler).</w:t>
      </w:r>
    </w:p>
    <w:p w:rsidR="00166AD6" w:rsidRDefault="00166AD6" w:rsidP="00166AD6">
      <w:pPr>
        <w:tabs>
          <w:tab w:val="left" w:pos="0"/>
        </w:tabs>
        <w:spacing w:after="0"/>
        <w:jc w:val="both"/>
        <w:rPr>
          <w:sz w:val="20"/>
          <w:szCs w:val="20"/>
        </w:rPr>
      </w:pPr>
      <w:r w:rsidRPr="00166AD6">
        <w:rPr>
          <w:b/>
          <w:sz w:val="20"/>
          <w:szCs w:val="20"/>
          <w:u w:val="single"/>
        </w:rPr>
        <w:t>Ergänzung:</w:t>
      </w:r>
    </w:p>
    <w:p w:rsidR="00670699" w:rsidRDefault="00166AD6" w:rsidP="00670699">
      <w:pPr>
        <w:tabs>
          <w:tab w:val="left" w:pos="142"/>
        </w:tabs>
        <w:spacing w:before="120" w:after="120"/>
        <w:ind w:left="142" w:hanging="142"/>
        <w:rPr>
          <w:sz w:val="20"/>
          <w:szCs w:val="20"/>
        </w:rPr>
      </w:pPr>
      <w:r>
        <w:rPr>
          <w:sz w:val="20"/>
          <w:szCs w:val="20"/>
        </w:rPr>
        <w:t>-</w:t>
      </w:r>
      <w:r w:rsidR="00670699">
        <w:rPr>
          <w:sz w:val="20"/>
          <w:szCs w:val="20"/>
        </w:rPr>
        <w:tab/>
      </w:r>
      <w:r>
        <w:rPr>
          <w:sz w:val="20"/>
          <w:szCs w:val="20"/>
        </w:rPr>
        <w:t xml:space="preserve">Strukturen der Schülerordner/Sammelordner sind </w:t>
      </w:r>
      <w:r w:rsidR="003E2F86">
        <w:rPr>
          <w:sz w:val="20"/>
          <w:szCs w:val="20"/>
        </w:rPr>
        <w:t>für die alle Schüler verbindlich einzuhalten</w:t>
      </w:r>
    </w:p>
    <w:p w:rsidR="00487DCB" w:rsidRDefault="00487DCB" w:rsidP="00670699">
      <w:pPr>
        <w:tabs>
          <w:tab w:val="left" w:pos="142"/>
        </w:tabs>
        <w:spacing w:before="120" w:after="120"/>
        <w:ind w:left="142" w:hanging="142"/>
        <w:rPr>
          <w:sz w:val="20"/>
          <w:szCs w:val="20"/>
        </w:rPr>
      </w:pPr>
    </w:p>
    <w:p w:rsidR="006F78CB" w:rsidRDefault="00487DCB" w:rsidP="006F78CB">
      <w:pPr>
        <w:pStyle w:val="berschrift1"/>
        <w:shd w:val="clear" w:color="auto" w:fill="BFBFBF" w:themeFill="background1" w:themeFillShade="BF"/>
        <w:tabs>
          <w:tab w:val="left" w:pos="426"/>
        </w:tabs>
        <w:jc w:val="left"/>
      </w:pPr>
      <w:r>
        <w:t>4</w:t>
      </w:r>
      <w:r w:rsidR="006F78CB">
        <w:t>.</w:t>
      </w:r>
      <w:r w:rsidR="006F78CB">
        <w:tab/>
        <w:t>Einstufung</w:t>
      </w:r>
      <w:r w:rsidR="000155F6">
        <w:t>:</w:t>
      </w:r>
      <w:r w:rsidR="006F78CB">
        <w:t xml:space="preserve"> </w:t>
      </w:r>
      <w:r w:rsidR="000155F6" w:rsidRPr="000155F6">
        <w:rPr>
          <w:b w:val="0"/>
          <w:sz w:val="20"/>
          <w:szCs w:val="20"/>
        </w:rPr>
        <w:t>G-Niveau, V-Niveau</w:t>
      </w:r>
    </w:p>
    <w:p w:rsidR="00487DCB" w:rsidRDefault="006F78CB" w:rsidP="00487DCB">
      <w:pPr>
        <w:tabs>
          <w:tab w:val="left" w:pos="0"/>
        </w:tabs>
        <w:jc w:val="both"/>
        <w:rPr>
          <w:sz w:val="20"/>
          <w:szCs w:val="20"/>
        </w:rPr>
      </w:pPr>
      <w:r>
        <w:rPr>
          <w:sz w:val="20"/>
          <w:szCs w:val="20"/>
        </w:rPr>
        <w:t>Generell wird auf eine Einstufung verzichtet</w:t>
      </w:r>
      <w:r w:rsidR="00487DCB">
        <w:rPr>
          <w:sz w:val="20"/>
          <w:szCs w:val="20"/>
        </w:rPr>
        <w:t>.</w:t>
      </w:r>
      <w:r>
        <w:rPr>
          <w:sz w:val="20"/>
          <w:szCs w:val="20"/>
        </w:rPr>
        <w:t xml:space="preserve"> Auf Basis der in Punkt 2 definierten </w:t>
      </w:r>
      <w:r w:rsidRPr="00A02F35">
        <w:rPr>
          <w:sz w:val="20"/>
          <w:szCs w:val="20"/>
        </w:rPr>
        <w:t>Notengebung unter Berücksichtigung der beiden Niveaus</w:t>
      </w:r>
      <w:r>
        <w:rPr>
          <w:sz w:val="20"/>
          <w:szCs w:val="20"/>
        </w:rPr>
        <w:t xml:space="preserve"> kann eine Zuordnung in </w:t>
      </w:r>
      <w:r w:rsidR="00487DCB">
        <w:rPr>
          <w:sz w:val="20"/>
          <w:szCs w:val="20"/>
        </w:rPr>
        <w:t>jedes</w:t>
      </w:r>
      <w:r>
        <w:rPr>
          <w:sz w:val="20"/>
          <w:szCs w:val="20"/>
        </w:rPr>
        <w:t xml:space="preserve"> </w:t>
      </w:r>
      <w:r w:rsidR="00487DCB">
        <w:rPr>
          <w:sz w:val="20"/>
          <w:szCs w:val="20"/>
        </w:rPr>
        <w:t>Niveau sofort erfolgen. Nur die Leistungsnote wird neu berechnet. Zur Unterstützung/Entlastung für die Notengebung wird eine einheitliches Notensystem/Excel-Programm</w:t>
      </w:r>
      <w:r w:rsidR="000155F6">
        <w:rPr>
          <w:sz w:val="20"/>
          <w:szCs w:val="20"/>
        </w:rPr>
        <w:t xml:space="preserve"> entwickelt.</w:t>
      </w:r>
    </w:p>
    <w:p w:rsidR="00487DCB" w:rsidRDefault="00487DCB" w:rsidP="00487DCB">
      <w:pPr>
        <w:tabs>
          <w:tab w:val="left" w:pos="142"/>
        </w:tabs>
        <w:spacing w:before="120" w:after="120"/>
        <w:ind w:left="142" w:hanging="142"/>
        <w:rPr>
          <w:sz w:val="20"/>
          <w:szCs w:val="20"/>
        </w:rPr>
      </w:pPr>
    </w:p>
    <w:p w:rsidR="00487DCB" w:rsidRDefault="00487DCB" w:rsidP="00487DCB">
      <w:pPr>
        <w:pStyle w:val="berschrift1"/>
        <w:shd w:val="clear" w:color="auto" w:fill="BFBFBF" w:themeFill="background1" w:themeFillShade="BF"/>
        <w:tabs>
          <w:tab w:val="left" w:pos="426"/>
        </w:tabs>
        <w:jc w:val="left"/>
      </w:pPr>
      <w:r>
        <w:t>5.</w:t>
      </w:r>
      <w:r>
        <w:tab/>
        <w:t xml:space="preserve">Ausblick/Innovation: </w:t>
      </w:r>
      <w:r w:rsidRPr="00487DCB">
        <w:rPr>
          <w:b w:val="0"/>
          <w:sz w:val="20"/>
          <w:szCs w:val="20"/>
        </w:rPr>
        <w:t>Excel – Datenbank als Ersatz für den Notenkatalog</w:t>
      </w:r>
    </w:p>
    <w:p w:rsidR="00487DCB" w:rsidRDefault="00487DCB" w:rsidP="00487DCB">
      <w:pPr>
        <w:tabs>
          <w:tab w:val="left" w:pos="0"/>
        </w:tabs>
        <w:jc w:val="both"/>
        <w:rPr>
          <w:sz w:val="20"/>
          <w:szCs w:val="20"/>
        </w:rPr>
      </w:pPr>
      <w:r>
        <w:rPr>
          <w:sz w:val="20"/>
          <w:szCs w:val="20"/>
        </w:rPr>
        <w:t xml:space="preserve">Der vorliegende Notenkatalog entspricht nicht den Erfordernissen, einer zeitgerechten </w:t>
      </w:r>
      <w:r w:rsidRPr="00181AC6">
        <w:rPr>
          <w:sz w:val="20"/>
          <w:szCs w:val="20"/>
        </w:rPr>
        <w:t xml:space="preserve">Artikulierung </w:t>
      </w:r>
      <w:r>
        <w:rPr>
          <w:sz w:val="20"/>
          <w:szCs w:val="20"/>
        </w:rPr>
        <w:t>und Transparenz der Notengebung. Eine einheitliche Vorgangsweise ist anzustreben. Insbesondere soll den Erziehungsberichtigten beim Elternsprechtag nicht nur die Noten vorgelesen werden, sondern auch ein Duplikat ausgehändigt werden, indem auch verbale Ergänzungen zu der Note vorhanden sein sollen. Dazu wird als Pilotprojekt in der Metall-Klasse eine Excel-Datenbank erstellt, in der die o.a. Ideen eingearbeitet werden. Die Datenbank ist die Grundlage für einen Serienbrief. Jene Eltern</w:t>
      </w:r>
      <w:r w:rsidR="006B4B8C">
        <w:rPr>
          <w:sz w:val="20"/>
          <w:szCs w:val="20"/>
        </w:rPr>
        <w:t>,</w:t>
      </w:r>
      <w:r>
        <w:rPr>
          <w:sz w:val="20"/>
          <w:szCs w:val="20"/>
        </w:rPr>
        <w:t xml:space="preserve"> die nicht zum Elternsprechtag erscheinen, wird das Duplikat per Post zugesandt (§49 Mitteilung)</w:t>
      </w:r>
      <w:r w:rsidR="006B4B8C">
        <w:rPr>
          <w:sz w:val="20"/>
          <w:szCs w:val="20"/>
        </w:rPr>
        <w:t xml:space="preserve"> bzw. alternativ zu einem Besprechungstermin vorgeladen</w:t>
      </w:r>
      <w:r>
        <w:rPr>
          <w:sz w:val="20"/>
          <w:szCs w:val="20"/>
        </w:rPr>
        <w:t xml:space="preserve">. Auch eine Zeugniserstellung kann einfach </w:t>
      </w:r>
      <w:r w:rsidR="006B4B8C">
        <w:rPr>
          <w:sz w:val="20"/>
          <w:szCs w:val="20"/>
        </w:rPr>
        <w:t xml:space="preserve"> über  einen Serienbrief </w:t>
      </w:r>
      <w:r>
        <w:rPr>
          <w:sz w:val="20"/>
          <w:szCs w:val="20"/>
        </w:rPr>
        <w:t>realisiert werden.</w:t>
      </w:r>
    </w:p>
    <w:p w:rsidR="00181AC6" w:rsidRPr="00487DCB" w:rsidRDefault="00487DCB" w:rsidP="00487DCB">
      <w:pPr>
        <w:tabs>
          <w:tab w:val="left" w:pos="0"/>
        </w:tabs>
        <w:jc w:val="both"/>
        <w:rPr>
          <w:sz w:val="20"/>
          <w:szCs w:val="20"/>
        </w:rPr>
      </w:pPr>
      <w:r>
        <w:rPr>
          <w:sz w:val="20"/>
          <w:szCs w:val="20"/>
        </w:rPr>
        <w:t>Die Notenaufzeichnungen müssen zu jedem Quartal dem Klassenvorstand übergeben werden.</w:t>
      </w:r>
    </w:p>
    <w:sectPr w:rsidR="00181AC6" w:rsidRPr="00487DCB" w:rsidSect="0007252E">
      <w:headerReference w:type="default" r:id="rId10"/>
      <w:footerReference w:type="default" r:id="rId11"/>
      <w:type w:val="continuous"/>
      <w:pgSz w:w="11907" w:h="16839"/>
      <w:pgMar w:top="1134" w:right="1800" w:bottom="1134"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D28" w:rsidRDefault="00734D28" w:rsidP="00487DCB">
      <w:pPr>
        <w:spacing w:after="0"/>
      </w:pPr>
      <w:r>
        <w:separator/>
      </w:r>
    </w:p>
  </w:endnote>
  <w:endnote w:type="continuationSeparator" w:id="0">
    <w:p w:rsidR="00734D28" w:rsidRDefault="00734D28" w:rsidP="00487DC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DCB" w:rsidRPr="00487DCB" w:rsidRDefault="00487DCB" w:rsidP="00487DCB">
    <w:pPr>
      <w:pStyle w:val="Fuzeile"/>
      <w:jc w:val="center"/>
    </w:pPr>
    <w:r w:rsidRPr="00181AC6">
      <w:rPr>
        <w:i/>
        <w:sz w:val="20"/>
        <w:szCs w:val="20"/>
      </w:rPr>
      <w:t>Mathe - Team der PTS Wörgl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D28" w:rsidRDefault="00734D28" w:rsidP="00487DCB">
      <w:pPr>
        <w:spacing w:after="0"/>
      </w:pPr>
      <w:r>
        <w:separator/>
      </w:r>
    </w:p>
  </w:footnote>
  <w:footnote w:type="continuationSeparator" w:id="0">
    <w:p w:rsidR="00734D28" w:rsidRDefault="00734D28" w:rsidP="00487DC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DCB" w:rsidRDefault="00487DCB" w:rsidP="006B4B8C">
    <w:pPr>
      <w:pStyle w:val="berschrift1"/>
      <w:pBdr>
        <w:top w:val="single" w:sz="4" w:space="0" w:color="auto"/>
        <w:left w:val="single" w:sz="4" w:space="4" w:color="auto"/>
        <w:bottom w:val="single" w:sz="4" w:space="1" w:color="auto"/>
        <w:right w:val="single" w:sz="4" w:space="4" w:color="auto"/>
      </w:pBdr>
      <w:tabs>
        <w:tab w:val="right" w:pos="8080"/>
      </w:tabs>
      <w:spacing w:after="0"/>
    </w:pPr>
    <w:r>
      <w:t>Mathematik</w:t>
    </w:r>
    <w:r w:rsidR="006B4B8C">
      <w:t>: Stand</w:t>
    </w:r>
    <w:r>
      <w:t xml:space="preserve"> 201</w:t>
    </w:r>
    <w:r w:rsidR="000155F6">
      <w:t>1</w:t>
    </w:r>
    <w:r>
      <w:t>/201</w:t>
    </w:r>
    <w:r w:rsidR="000155F6">
      <w:t>2</w:t>
    </w:r>
    <w:r w:rsidR="006B4B8C">
      <w:tab/>
    </w:r>
    <w:r w:rsidR="006B4B8C" w:rsidRPr="006B4B8C">
      <w:rPr>
        <w:b w:val="0"/>
        <w:sz w:val="16"/>
        <w:szCs w:val="16"/>
      </w:rPr>
      <w:t>laufende Überlegungen seit 2008</w:t>
    </w:r>
  </w:p>
  <w:p w:rsidR="00487DCB" w:rsidRDefault="00487DCB">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075F1"/>
    <w:multiLevelType w:val="hybridMultilevel"/>
    <w:tmpl w:val="D8A48C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6BE4664D"/>
    <w:multiLevelType w:val="hybridMultilevel"/>
    <w:tmpl w:val="A75AC808"/>
    <w:lvl w:ilvl="0" w:tplc="C4883048">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7D1F503C"/>
    <w:multiLevelType w:val="hybridMultilevel"/>
    <w:tmpl w:val="5FCA426E"/>
    <w:lvl w:ilvl="0" w:tplc="547C9A42">
      <w:start w:val="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proofState w:spelling="clean" w:grammar="clean"/>
  <w:attachedTemplate r:id="rId1"/>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A402B3"/>
    <w:rsid w:val="00001A52"/>
    <w:rsid w:val="000155F6"/>
    <w:rsid w:val="0007252E"/>
    <w:rsid w:val="000D1DC3"/>
    <w:rsid w:val="00125C63"/>
    <w:rsid w:val="00150848"/>
    <w:rsid w:val="00166AD6"/>
    <w:rsid w:val="00181AC6"/>
    <w:rsid w:val="00186E61"/>
    <w:rsid w:val="00222088"/>
    <w:rsid w:val="002717AC"/>
    <w:rsid w:val="00272ABF"/>
    <w:rsid w:val="002845FD"/>
    <w:rsid w:val="002A2BB1"/>
    <w:rsid w:val="002B3E97"/>
    <w:rsid w:val="0032651E"/>
    <w:rsid w:val="00384667"/>
    <w:rsid w:val="003E2F86"/>
    <w:rsid w:val="00487DCB"/>
    <w:rsid w:val="004D1227"/>
    <w:rsid w:val="00580DF7"/>
    <w:rsid w:val="005A4D54"/>
    <w:rsid w:val="005A7A31"/>
    <w:rsid w:val="005E6C0F"/>
    <w:rsid w:val="0065165B"/>
    <w:rsid w:val="00670699"/>
    <w:rsid w:val="006B4B8C"/>
    <w:rsid w:val="006C56CD"/>
    <w:rsid w:val="006F78CB"/>
    <w:rsid w:val="00734D28"/>
    <w:rsid w:val="00750C91"/>
    <w:rsid w:val="00756033"/>
    <w:rsid w:val="00791AAB"/>
    <w:rsid w:val="007D4AD6"/>
    <w:rsid w:val="008F502E"/>
    <w:rsid w:val="00987E15"/>
    <w:rsid w:val="009F64CA"/>
    <w:rsid w:val="00A02F35"/>
    <w:rsid w:val="00A402B3"/>
    <w:rsid w:val="00B922AC"/>
    <w:rsid w:val="00DE1EAA"/>
    <w:rsid w:val="00ED1962"/>
    <w:rsid w:val="00F03CC0"/>
    <w:rsid w:val="00FD46E2"/>
    <w:rsid w:val="00FE3A1A"/>
    <w:rsid w:val="00FF21EF"/>
    <w:rsid w:val="00FF44C7"/>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44C7"/>
    <w:pPr>
      <w:spacing w:after="240"/>
    </w:pPr>
    <w:rPr>
      <w:sz w:val="24"/>
      <w:szCs w:val="24"/>
    </w:rPr>
  </w:style>
  <w:style w:type="paragraph" w:styleId="berschrift1">
    <w:name w:val="heading 1"/>
    <w:basedOn w:val="Standard"/>
    <w:next w:val="Standard"/>
    <w:qFormat/>
    <w:rsid w:val="00FF44C7"/>
    <w:pPr>
      <w:jc w:val="center"/>
      <w:outlineLvl w:val="0"/>
    </w:pPr>
    <w:rPr>
      <w:b/>
      <w:bCs/>
    </w:rPr>
  </w:style>
  <w:style w:type="paragraph" w:styleId="berschrift2">
    <w:name w:val="heading 2"/>
    <w:basedOn w:val="Standard"/>
    <w:next w:val="Standard"/>
    <w:qFormat/>
    <w:rsid w:val="00FF44C7"/>
    <w:pPr>
      <w:spacing w:after="360"/>
      <w:jc w:val="center"/>
      <w:outlineLvl w:val="1"/>
    </w:pPr>
  </w:style>
  <w:style w:type="paragraph" w:styleId="berschrift3">
    <w:name w:val="heading 3"/>
    <w:basedOn w:val="Standard"/>
    <w:next w:val="Standard"/>
    <w:qFormat/>
    <w:rsid w:val="00FF44C7"/>
    <w:pPr>
      <w:keepNext/>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amen">
    <w:name w:val="Namen"/>
    <w:basedOn w:val="Standard"/>
    <w:rsid w:val="00FF44C7"/>
    <w:pPr>
      <w:tabs>
        <w:tab w:val="left" w:pos="3960"/>
      </w:tabs>
      <w:spacing w:before="240"/>
    </w:pPr>
    <w:rPr>
      <w:lang w:bidi="de-DE"/>
    </w:rPr>
  </w:style>
  <w:style w:type="table" w:customStyle="1" w:styleId="NormaleTabelle1">
    <w:name w:val="Normale Tabelle1"/>
    <w:semiHidden/>
    <w:rsid w:val="00FF44C7"/>
    <w:tblPr>
      <w:tblCellMar>
        <w:top w:w="0" w:type="dxa"/>
        <w:left w:w="108" w:type="dxa"/>
        <w:bottom w:w="0" w:type="dxa"/>
        <w:right w:w="108" w:type="dxa"/>
      </w:tblCellMar>
    </w:tblPr>
  </w:style>
  <w:style w:type="paragraph" w:styleId="Listenabsatz">
    <w:name w:val="List Paragraph"/>
    <w:basedOn w:val="Standard"/>
    <w:uiPriority w:val="34"/>
    <w:qFormat/>
    <w:rsid w:val="002B3E97"/>
    <w:pPr>
      <w:ind w:left="720"/>
      <w:contextualSpacing/>
    </w:pPr>
  </w:style>
  <w:style w:type="paragraph" w:styleId="Sprechblasentext">
    <w:name w:val="Balloon Text"/>
    <w:basedOn w:val="Standard"/>
    <w:link w:val="SprechblasentextZchn"/>
    <w:rsid w:val="00125C63"/>
    <w:pPr>
      <w:spacing w:after="0"/>
    </w:pPr>
    <w:rPr>
      <w:rFonts w:ascii="Tahoma" w:hAnsi="Tahoma" w:cs="Tahoma"/>
      <w:sz w:val="16"/>
      <w:szCs w:val="16"/>
    </w:rPr>
  </w:style>
  <w:style w:type="character" w:customStyle="1" w:styleId="SprechblasentextZchn">
    <w:name w:val="Sprechblasentext Zchn"/>
    <w:basedOn w:val="Absatz-Standardschriftart"/>
    <w:link w:val="Sprechblasentext"/>
    <w:rsid w:val="00125C63"/>
    <w:rPr>
      <w:rFonts w:ascii="Tahoma" w:hAnsi="Tahoma" w:cs="Tahoma"/>
      <w:sz w:val="16"/>
      <w:szCs w:val="16"/>
    </w:rPr>
  </w:style>
  <w:style w:type="character" w:styleId="Hyperlink">
    <w:name w:val="Hyperlink"/>
    <w:basedOn w:val="Absatz-Standardschriftart"/>
    <w:rsid w:val="003E2F86"/>
    <w:rPr>
      <w:color w:val="0000FF" w:themeColor="hyperlink"/>
      <w:u w:val="single"/>
    </w:rPr>
  </w:style>
  <w:style w:type="paragraph" w:styleId="Kopfzeile">
    <w:name w:val="header"/>
    <w:basedOn w:val="Standard"/>
    <w:link w:val="KopfzeileZchn"/>
    <w:rsid w:val="00487DCB"/>
    <w:pPr>
      <w:tabs>
        <w:tab w:val="center" w:pos="4536"/>
        <w:tab w:val="right" w:pos="9072"/>
      </w:tabs>
      <w:spacing w:after="0"/>
    </w:pPr>
  </w:style>
  <w:style w:type="character" w:customStyle="1" w:styleId="KopfzeileZchn">
    <w:name w:val="Kopfzeile Zchn"/>
    <w:basedOn w:val="Absatz-Standardschriftart"/>
    <w:link w:val="Kopfzeile"/>
    <w:rsid w:val="00487DCB"/>
    <w:rPr>
      <w:sz w:val="24"/>
      <w:szCs w:val="24"/>
    </w:rPr>
  </w:style>
  <w:style w:type="paragraph" w:styleId="Fuzeile">
    <w:name w:val="footer"/>
    <w:basedOn w:val="Standard"/>
    <w:link w:val="FuzeileZchn"/>
    <w:rsid w:val="00487DCB"/>
    <w:pPr>
      <w:tabs>
        <w:tab w:val="center" w:pos="4536"/>
        <w:tab w:val="right" w:pos="9072"/>
      </w:tabs>
      <w:spacing w:after="0"/>
    </w:pPr>
  </w:style>
  <w:style w:type="character" w:customStyle="1" w:styleId="FuzeileZchn">
    <w:name w:val="Fußzeile Zchn"/>
    <w:basedOn w:val="Absatz-Standardschriftart"/>
    <w:link w:val="Fuzeile"/>
    <w:rsid w:val="00487DCB"/>
    <w:rPr>
      <w:sz w:val="24"/>
      <w:szCs w:val="24"/>
    </w:rPr>
  </w:style>
</w:styles>
</file>

<file path=word/webSettings.xml><?xml version="1.0" encoding="utf-8"?>
<w:webSettings xmlns:r="http://schemas.openxmlformats.org/officeDocument/2006/relationships" xmlns:w="http://schemas.openxmlformats.org/wordprocessingml/2006/main">
  <w:divs>
    <w:div w:id="568614149">
      <w:bodyDiv w:val="1"/>
      <w:marLeft w:val="0"/>
      <w:marRight w:val="0"/>
      <w:marTop w:val="0"/>
      <w:marBottom w:val="0"/>
      <w:divBdr>
        <w:top w:val="none" w:sz="0" w:space="0" w:color="auto"/>
        <w:left w:val="none" w:sz="0" w:space="0" w:color="auto"/>
        <w:bottom w:val="none" w:sz="0" w:space="0" w:color="auto"/>
        <w:right w:val="none" w:sz="0" w:space="0" w:color="auto"/>
      </w:divBdr>
      <w:divsChild>
        <w:div w:id="1112015990">
          <w:marLeft w:val="0"/>
          <w:marRight w:val="0"/>
          <w:marTop w:val="0"/>
          <w:marBottom w:val="0"/>
          <w:divBdr>
            <w:top w:val="none" w:sz="0" w:space="0" w:color="auto"/>
            <w:left w:val="none" w:sz="0" w:space="0" w:color="auto"/>
            <w:bottom w:val="none" w:sz="0" w:space="0" w:color="auto"/>
            <w:right w:val="none" w:sz="0" w:space="0" w:color="auto"/>
          </w:divBdr>
          <w:divsChild>
            <w:div w:id="10891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550288">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fie.at/bildungsstandar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admin\Anwendungsdaten\Microsoft\Templates\Minutes%20for%20organization%20meeti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F49B29-8DED-4676-B340-A3475474D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for organization meeting</Template>
  <TotalTime>0</TotalTime>
  <Pages>2</Pages>
  <Words>619</Words>
  <Characters>4385</Characters>
  <Application>Microsoft Office Word</Application>
  <DocSecurity>0</DocSecurity>
  <Lines>36</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[NAME DER ORGANISATION/DES KOMITEES]</vt:lpstr>
    </vt:vector>
  </TitlesOfParts>
  <Company>Microsoft Corporation</Company>
  <LinksUpToDate>false</LinksUpToDate>
  <CharactersWithSpaces>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 Standard</dc:creator>
  <cp:lastModifiedBy>admin</cp:lastModifiedBy>
  <cp:revision>8</cp:revision>
  <cp:lastPrinted>2009-12-16T13:22:00Z</cp:lastPrinted>
  <dcterms:created xsi:type="dcterms:W3CDTF">2010-09-16T09:48:00Z</dcterms:created>
  <dcterms:modified xsi:type="dcterms:W3CDTF">2012-08-23T05:29:00Z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TC010184131031</vt:lpwstr>
  </property>
</Properties>
</file>